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8.png" ContentType="image/png"/>
  <Override PartName="/word/media/rId33.png" ContentType="image/png"/>
  <Override PartName="/word/media/rId29.png" ContentType="image/png"/>
  <Override PartName="/word/media/rId40.png" ContentType="image/png"/>
  <Override PartName="/word/media/rId35.png" ContentType="image/png"/>
  <Override PartName="/word/media/rId28.png" ContentType="image/png"/>
  <Override PartName="/word/media/rId41.png" ContentType="image/png"/>
  <Override PartName="/word/media/rId54.png" ContentType="image/png"/>
  <Override PartName="/word/media/rId55.png" ContentType="image/png"/>
  <Override PartName="/word/media/rId53.png" ContentType="image/png"/>
  <Override PartName="/word/media/rId48.png" ContentType="image/png"/>
  <Override PartName="/word/media/rId51.png" ContentType="image/png"/>
  <Override PartName="/word/media/rId46.png" ContentType="image/png"/>
  <Override PartName="/word/media/rId45.png" ContentType="image/png"/>
  <Override PartName="/word/media/rId60.png" ContentType="image/png"/>
  <Override PartName="/word/media/rId59.png" ContentType="image/png"/>
  <Override PartName="/word/media/rId25.png" ContentType="image/png"/>
  <Override PartName="/word/media/rId2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p>
      <w:r>
        <w:br w:type="page"/>
      </w:r>
    </w:p>
    <w:bookmarkEnd w:id="23"/>
    <w:bookmarkStart w:id="24" w:name="main-findings"/>
    <w:p>
      <w:pPr>
        <w:pStyle w:val="Heading1"/>
      </w:pPr>
      <w:r>
        <w:t xml:space="preserve">Main findings</w:t>
      </w:r>
    </w:p>
    <w:p>
      <w:pPr>
        <w:pStyle w:val="FirstParagraph"/>
      </w:pPr>
    </w:p>
    <w:p>
      <w:pPr>
        <w:numPr>
          <w:ilvl w:val="0"/>
          <w:numId w:val="1001"/>
        </w:numPr>
      </w:pPr>
      <w:r>
        <w:t xml:space="preserve">From the 22 countries that are part of the Cooperative Agreement for Research (RCA), 20 participated in the online survey: Australia, Bangladesh, Cambodia, China, India, Indonesia, Japan, Laos, Malaysia, Mongolia, Myanmar, Nepal, New Zealand, Pakistan,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70% Government Parties (GPs) have established a National Certification Body (NCB), 60% of them perceived that the RCA programme has contributed to a great extent in the establishment of their body.</w:t>
      </w:r>
    </w:p>
    <w:p>
      <w:pPr>
        <w:numPr>
          <w:ilvl w:val="0"/>
          <w:numId w:val="1001"/>
        </w:numPr>
      </w:pPr>
      <w:r>
        <w:t xml:space="preserve">Since 2020, the NDT RCA programme has contributed to the certification of 307,780 personnel by local NDT Accredited Training Centres in 15 countries. From the total certified personnel, 5.6% are female.</w:t>
      </w:r>
    </w:p>
    <w:p>
      <w:pPr>
        <w:numPr>
          <w:ilvl w:val="0"/>
          <w:numId w:val="1001"/>
        </w:numPr>
      </w:pPr>
      <w:r>
        <w:t xml:space="preserve">The method for which RCA has contributed the most to the certification of personnel is Radiographic Testing (223,900 personnel trained), followed by Penetrant Testing and Ultrasonic Testing.</w:t>
      </w:r>
    </w:p>
    <w:p>
      <w:pPr>
        <w:numPr>
          <w:ilvl w:val="0"/>
          <w:numId w:val="1001"/>
        </w:numPr>
      </w:pPr>
      <w:r>
        <w:t xml:space="preserve">There are over 3,607 inspection centres owned by local firms across all the GPs that participate in the NDT RCA programme. According to the own perception of the GPs, the RCA NDT programme has contributed to a great extent in the establishment of inspection centres in nine of the twenty-two countries that are part of the programme.</w:t>
      </w:r>
    </w:p>
    <w:p>
      <w:pPr>
        <w:numPr>
          <w:ilvl w:val="0"/>
          <w:numId w:val="1001"/>
        </w:numPr>
      </w:pPr>
      <w:r>
        <w:t xml:space="preserve">75% of GPS that have established any R&amp;D activities related to NDT and 1,620 publications related to NDT that have been published since 2000 in as a result of being part of the RCA NDT programme.</w:t>
      </w:r>
    </w:p>
    <w:p>
      <w:pPr>
        <w:numPr>
          <w:ilvl w:val="0"/>
          <w:numId w:val="1001"/>
        </w:numPr>
      </w:pPr>
      <w:r>
        <w:t xml:space="preserve">85% of GPs perceive that the RCA NDT programme contributed to applying NDT technologies for safer operations of nuclear and other industrial installations.</w:t>
      </w:r>
    </w:p>
    <w:p>
      <w:pPr>
        <w:numPr>
          <w:ilvl w:val="0"/>
          <w:numId w:val="1001"/>
        </w:numPr>
      </w:pPr>
      <w:r>
        <w:t xml:space="preserve">For 75% of the GPs, RCA NDT has helped to speed up the adoption of NDT technologies in their country since 2000.</w:t>
      </w:r>
    </w:p>
    <w:p>
      <w:pPr>
        <w:numPr>
          <w:ilvl w:val="0"/>
          <w:numId w:val="1001"/>
        </w:numPr>
      </w:pPr>
      <w:r>
        <w:t xml:space="preserve">70% of the GPs perceive that NDT RCA has contributed to the adoption of NDT technologies by private business in their countries since 2000, from these countries, 50% estimate that the proportion of the total activity in their NDT sector can be attributed to being involved in the NDT RCA programme is 25% or more.</w:t>
      </w:r>
    </w:p>
    <w:p>
      <w:pPr>
        <w:numPr>
          <w:ilvl w:val="0"/>
          <w:numId w:val="1001"/>
        </w:numPr>
      </w:pPr>
      <w:r>
        <w:t xml:space="preserve">75% of the GPs consider that the the role of IAEA/RCA activities in achieving the general objectives and benefits of NDT on socio-economic impact through industrial growth in their countries is excellent or good.</w:t>
      </w:r>
    </w:p>
    <w:bookmarkEnd w:id="24"/>
    <w:bookmarkStart w:id="27"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p>
      <w:pPr>
        <w:pStyle w:val="BodyText"/>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provided a transparent and robust framework for rating the impact of the mutation breeding RCA</w:t>
      </w:r>
    </w:p>
    <w:p>
      <w:pPr>
        <w:pStyle w:val="BodyText"/>
      </w:pPr>
      <w:r>
        <w:t xml:space="preserve">To understand the contribution of the NDT RCA programme on social and economic indicators, the study analyses the extent into which being part of the programme has enabled the GPs to:</w:t>
      </w:r>
    </w:p>
    <w:p>
      <w:pPr>
        <w:pStyle w:val="BodyText"/>
      </w:pPr>
      <w:r>
        <w:rPr>
          <w:bCs/>
          <w:b/>
        </w:rPr>
        <w:t xml:space="preserve">Improve NDT capacity and capability</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(RT-D, PAUT, TOFD, PEC, etc), in addition to the conventional methods (RT, UT, MT, PT, ET);</w:t>
      </w:r>
    </w:p>
    <w:p>
      <w:pPr>
        <w:numPr>
          <w:ilvl w:val="0"/>
          <w:numId w:val="1002"/>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3"/>
        </w:numPr>
      </w:pPr>
      <w:r>
        <w:t xml:space="preserve">Enhance awareness, interest, and application of NDT technology in the industrial sectors for the QA and QC of industrial components;</w:t>
      </w:r>
    </w:p>
    <w:p>
      <w:pPr>
        <w:numPr>
          <w:ilvl w:val="0"/>
          <w:numId w:val="1003"/>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4"/>
        </w:numPr>
        <w:pStyle w:val="Compact"/>
      </w:pPr>
      <w:r>
        <w:t xml:space="preserve">Improve health and safety by applying NDT technology in the industrial sectors.</w:t>
      </w:r>
    </w:p>
    <w:p>
      <w:pPr>
        <w:pStyle w:val="FirstParagraph"/>
      </w:pPr>
      <w:r>
        <w:t xml:space="preserve">Figure</w:t>
      </w:r>
      <w:r>
        <w:t xml:space="preserve"> </w:t>
      </w:r>
      <w:r>
        <w:t xml:space="preserve">2</w:t>
      </w:r>
      <w:r>
        <w:t xml:space="preserve"> </w:t>
      </w:r>
      <w:r>
        <w:t xml:space="preserve">summarises the criteria (aspects of performance) and standards (levels of performance) of each GP.</w:t>
      </w:r>
    </w:p>
    <w:p>
      <w:pPr>
        <w:pStyle w:val="CaptionedFigure"/>
      </w:pPr>
      <w:r>
        <w:drawing>
          <wp:inline>
            <wp:extent cx="5219700" cy="4015153"/>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End w:id="27"/>
    <w:bookmarkStart w:id="44" w:name="Xb06e32eb51d3c886b0284ac9ae11a0050f89d6e"/>
    <w:p>
      <w:pPr>
        <w:pStyle w:val="Heading1"/>
      </w:pPr>
      <w:r>
        <w:t xml:space="preserve">Criterion 1: Improved NDT capacity and capability</w:t>
      </w:r>
    </w:p>
    <w:p>
      <w:pPr>
        <w:pStyle w:val="FirstParagraph"/>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5"/>
        </w:numPr>
      </w:pPr>
      <w:r>
        <w:t xml:space="preserve">Fulfill the Multilateral Recognition Agreement (MRA) requirements of the International Committee on Non-destructive Testing (ICNDT) as a result of the support under the NDT RCA programme;</w:t>
      </w:r>
    </w:p>
    <w:p>
      <w:pPr>
        <w:numPr>
          <w:ilvl w:val="0"/>
          <w:numId w:val="1005"/>
        </w:numPr>
      </w:pPr>
      <w:r>
        <w:t xml:space="preserve">Establish GPs’ NDT infrastructure to produce certified personnel in advanced techniques (RT-D, PAUT, TOFD, PEC, etc), in addition to the conventional methods (RT, UT, MT, PT, ET); and</w:t>
      </w:r>
    </w:p>
    <w:p>
      <w:pPr>
        <w:numPr>
          <w:ilvl w:val="0"/>
          <w:numId w:val="1005"/>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307,780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the levels of performance of the impact of NDT RCA on the GPs’ in each of the criteria of the capacity and capability in NDT dimension.</w:t>
      </w:r>
    </w:p>
    <w:p>
      <w:pPr>
        <w:pStyle w:val="BodyText"/>
      </w:pPr>
      <w:r>
        <w:t xml:space="preserve">Further details on the criterion and standards for this dimension are presented in Annex E.</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8"/>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2" w:name="X5b8dcac310149fefd46a758c183e8cc67750635"/>
    <w:p>
      <w:pPr>
        <w:pStyle w:val="Heading2"/>
      </w:pPr>
      <w:r>
        <w:t xml:space="preserve">Sub-criterion 1.1: Fulfillment of the Multilateral Recognition Agreement</w:t>
      </w:r>
    </w:p>
    <w:p>
      <w:pPr>
        <w:pStyle w:val="FirstParagraph"/>
      </w:pPr>
      <w:r>
        <w:t xml:space="preserve">This criteria aims to understand the the extent to which a GP has fulfilled the MRA requirements of ICNDT and the status of the NDT infrastructure at the national level. The criteria and standards (levels of performance) for the Fulfillment of the Multilateral Recognition Agreement are the following:</w:t>
      </w:r>
    </w:p>
    <w:p>
      <w:pPr>
        <w:numPr>
          <w:ilvl w:val="0"/>
          <w:numId w:val="1006"/>
        </w:numPr>
      </w:pPr>
      <w:r>
        <w:rPr>
          <w:bCs/>
          <w:b/>
        </w:rPr>
        <w:t xml:space="preserve">Adequate:</w:t>
      </w:r>
      <w:r>
        <w:t xml:space="preserve"> </w:t>
      </w:r>
      <w:r>
        <w:t xml:space="preserve">GPs have established a National Certification Scheme (NCS).</w:t>
      </w:r>
    </w:p>
    <w:p>
      <w:pPr>
        <w:numPr>
          <w:ilvl w:val="0"/>
          <w:numId w:val="1006"/>
        </w:numPr>
      </w:pPr>
      <w:r>
        <w:rPr>
          <w:bCs/>
          <w:b/>
        </w:rPr>
        <w:t xml:space="preserve">Good:</w:t>
      </w:r>
      <w:r>
        <w:t xml:space="preserve"> </w:t>
      </w:r>
      <w:r>
        <w:t xml:space="preserve">GPs have established a NCS and a National Certification Body (NCB) on NDT.</w:t>
      </w:r>
    </w:p>
    <w:p>
      <w:pPr>
        <w:numPr>
          <w:ilvl w:val="0"/>
          <w:numId w:val="1006"/>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0"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2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by RCA to assess the performance of GPs in terms of Fulfillment of the Multilateral Recognition Agreement, Australia, China, Malaysia, Singapore, and South Korea have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GP has established and the performance for this criterion.</w:t>
      </w:r>
    </w:p>
    <w:bookmarkEnd w:id="30"/>
    <w:bookmarkStart w:id="31"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50% of the GPs that are part of the programme, perceive that RCA has contributed to a great extent in the establishment of the certification scheme of their countries</w:t>
      </w:r>
      <w:r>
        <w:t xml:space="preserv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88"/>
        <w:gridCol w:w="459"/>
        <w:gridCol w:w="1951"/>
        <w:gridCol w:w="1664"/>
        <w:gridCol w:w="3156"/>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bl>
    <w:p>
      <w:pPr>
        <w:pStyle w:val="BodyText"/>
      </w:pPr>
    </w:p>
    <w:bookmarkEnd w:id="31"/>
    <w:bookmarkEnd w:id="32"/>
    <w:bookmarkStart w:id="37"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7"/>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7"/>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7"/>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4"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5</w:t>
      </w:r>
      <w:r>
        <w:t xml:space="preserve"> </w:t>
      </w:r>
      <w:r>
        <w:t xml:space="preserve">shows that based on the criteria developed by IAEA,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5: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5: Personnel certified by methods: standards for self-reliance</w:t>
      </w:r>
    </w:p>
    <w:bookmarkEnd w:id="34"/>
    <w:bookmarkStart w:id="36"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307,780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5.6% are female</w:t>
      </w:r>
      <w:r>
        <w:t xml:space="preserv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1,005</w:t>
            </w:r>
          </w:p>
        </w:tc>
        <w:tc>
          <w:p>
            <w:pPr>
              <w:pStyle w:val="Compact"/>
              <w:jc w:val="left"/>
            </w:pPr>
            <w:r>
              <w:t xml:space="preserve">20,100</w:t>
            </w:r>
          </w:p>
        </w:tc>
        <w:tc>
          <w:p>
            <w:pPr>
              <w:pStyle w:val="Compact"/>
              <w:jc w:val="left"/>
            </w:pPr>
            <w:r>
              <w:t xml:space="preserve">9.71%</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1,128</w:t>
            </w:r>
          </w:p>
        </w:tc>
        <w:tc>
          <w:p>
            <w:pPr>
              <w:pStyle w:val="Compact"/>
              <w:jc w:val="left"/>
            </w:pPr>
            <w:r>
              <w:t xml:space="preserve">22,560</w:t>
            </w:r>
          </w:p>
        </w:tc>
        <w:tc>
          <w:p>
            <w:pPr>
              <w:pStyle w:val="Compact"/>
              <w:jc w:val="left"/>
            </w:pPr>
            <w:r>
              <w:t xml:space="preserve">8.16%</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15,389</w:t>
            </w:r>
          </w:p>
        </w:tc>
        <w:tc>
          <w:p>
            <w:pPr>
              <w:pStyle w:val="Compact"/>
              <w:jc w:val="left"/>
            </w:pPr>
            <w:r>
              <w:t xml:space="preserve">307,780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6</w:t>
      </w:r>
      <w:r>
        <w:t xml:space="preserve"> </w:t>
      </w:r>
      <w:r>
        <w:t xml:space="preserve">below.</w:t>
      </w:r>
    </w:p>
    <w:p>
      <w:pPr>
        <w:pStyle w:val="CaptionedFigure"/>
      </w:pPr>
      <w:r>
        <w:drawing>
          <wp:inline>
            <wp:extent cx="5219700" cy="4015153"/>
            <wp:effectExtent b="0" l="0" r="0" t="0"/>
            <wp:docPr descr="Figure 6: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5"/>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6: Number personnel that was certified by local NDT training centers as a result of participating in RCA NDT.</w:t>
      </w:r>
    </w:p>
    <w:bookmarkEnd w:id="36"/>
    <w:bookmarkEnd w:id="37"/>
    <w:bookmarkStart w:id="43"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8"/>
        </w:numPr>
      </w:pPr>
      <w:r>
        <w:rPr>
          <w:bCs/>
          <w:b/>
        </w:rPr>
        <w:t xml:space="preserve">Adequate:</w:t>
      </w:r>
      <w:r>
        <w:t xml:space="preserve"> </w:t>
      </w:r>
      <w:r>
        <w:t xml:space="preserve">GPs have training centres and inspection companies, owned by foreign entities.</w:t>
      </w:r>
    </w:p>
    <w:p>
      <w:pPr>
        <w:numPr>
          <w:ilvl w:val="0"/>
          <w:numId w:val="1008"/>
        </w:numPr>
      </w:pPr>
      <w:r>
        <w:rPr>
          <w:bCs/>
          <w:b/>
        </w:rPr>
        <w:t xml:space="preserve">Good:</w:t>
      </w:r>
      <w:r>
        <w:t xml:space="preserve"> </w:t>
      </w:r>
      <w:r>
        <w:t xml:space="preserve">GPs have local NDT training centres and inspection companies offering services to local industry.</w:t>
      </w:r>
    </w:p>
    <w:p>
      <w:pPr>
        <w:numPr>
          <w:ilvl w:val="0"/>
          <w:numId w:val="1008"/>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39"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7</w:t>
      </w:r>
      <w:r>
        <w:t xml:space="preserve">.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7: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7: GP’s inspection and training centers: standards for self-reliance</w:t>
      </w:r>
    </w:p>
    <w:bookmarkEnd w:id="39"/>
    <w:bookmarkStart w:id="42" w:name="Xec490a13f6bd3feacdfe57d06114e1981251722"/>
    <w:p>
      <w:pPr>
        <w:pStyle w:val="Heading3"/>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investment centres</w:t>
      </w:r>
      <w:r>
        <w:t xml:space="preserve">;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94"/>
        <w:gridCol w:w="1018"/>
        <w:gridCol w:w="1807"/>
        <w:gridCol w:w="2070"/>
        <w:gridCol w:w="887"/>
        <w:gridCol w:w="1741"/>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bl>
    <w:p>
      <w:pPr>
        <w:pStyle w:val="BodyText"/>
      </w:pP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0"/>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p>
      <w:pPr>
        <w:pStyle w:val="BodyText"/>
      </w:pPr>
      <w:r>
        <w:t xml:space="preserve">Figure</w:t>
      </w:r>
      <w:r>
        <w:t xml:space="preserve"> </w:t>
      </w:r>
      <w:r>
        <w:t xml:space="preserve">9</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9: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1"/>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9: Number of training centres by type of ownership and country</w:t>
      </w:r>
    </w:p>
    <w:p>
      <w:r>
        <w:br w:type="page"/>
      </w:r>
    </w:p>
    <w:bookmarkEnd w:id="42"/>
    <w:bookmarkEnd w:id="43"/>
    <w:bookmarkEnd w:id="44"/>
    <w:bookmarkStart w:id="58" w:name="Xefc9ca6e5f20989e39cb5cfb849c2c83a141d3c"/>
    <w:p>
      <w:pPr>
        <w:pStyle w:val="Heading1"/>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aims to understand the extent to which the support of the NDT programme has contributed to the enhancement of:</w:t>
      </w:r>
    </w:p>
    <w:p>
      <w:pPr>
        <w:numPr>
          <w:ilvl w:val="0"/>
          <w:numId w:val="1009"/>
        </w:numPr>
        <w:pStyle w:val="Compact"/>
      </w:pPr>
      <w:r>
        <w:t xml:space="preserve">Awareness, interest, and application of NDT technology in the industrial sectors for the QA and QC of industrial components; and</w:t>
      </w:r>
    </w:p>
    <w:p>
      <w:pPr>
        <w:numPr>
          <w:ilvl w:val="0"/>
          <w:numId w:val="1009"/>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90%</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increased scope and scale of NDT demand and use of the Government Parties. Further details on the criterion and standards for this dimension are presented in Annex A.</w:t>
      </w:r>
    </w:p>
    <w:p>
      <w:pPr>
        <w:pStyle w:val="CaptionedFigure"/>
      </w:pPr>
      <w:r>
        <w:drawing>
          <wp:inline>
            <wp:extent cx="5219700" cy="2409092"/>
            <wp:effectExtent b="0" l="0" r="0" t="0"/>
            <wp:docPr descr="Figure 10: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5"/>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10: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0"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10"/>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10"/>
        </w:numPr>
      </w:pPr>
      <w:r>
        <w:rPr>
          <w:bCs/>
          <w:b/>
        </w:rPr>
        <w:t xml:space="preserve">Good:</w:t>
      </w:r>
      <w:r>
        <w:t xml:space="preserve"> </w:t>
      </w:r>
      <w:r>
        <w:t xml:space="preserve">as a result of being part of the NDT RCA programme, GPs become more concerned and interested into applying NDT technology in the industrial sectors; and an</w:t>
      </w:r>
    </w:p>
    <w:p>
      <w:pPr>
        <w:numPr>
          <w:ilvl w:val="0"/>
          <w:numId w:val="1010"/>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7"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Malaysia, Pakistan, Philippines, South Korea, Sri Lanka, Thailand, and Vietnam are considered to have met an excellent performance</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1: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11: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nine that met an excellent standards GPs have taken actions to create awareness among industrial organisations about the benefits of NDT technology</w:t>
      </w:r>
      <w:r>
        <w:t xml:space="preserve">. For all these GPS, being part of the RCA NDT programme has also contributed to increase the concern/interest about applying NDT technologies for Quality Assurance and Quality Control in their industrial sector.</w:t>
      </w:r>
    </w:p>
    <w:p>
      <w:pPr>
        <w:pStyle w:val="BodyText"/>
      </w:pPr>
      <w:r>
        <w:t xml:space="preserve">Figure</w:t>
      </w:r>
      <w:r>
        <w:t xml:space="preserve"> </w:t>
      </w:r>
      <w:r>
        <w:t xml:space="preserve">11</w:t>
      </w:r>
      <w:r>
        <w:t xml:space="preserve"> </w:t>
      </w:r>
      <w:r>
        <w:t xml:space="preserve">shows the criterion and standards for this sub-dimension. The detailed methodology and criteria is presented in Annex A.</w:t>
      </w:r>
    </w:p>
    <w:bookmarkEnd w:id="47"/>
    <w:bookmarkStart w:id="49" w:name="Xba5272a617ebed6b41098a90e0f77dc7fdd9c68"/>
    <w:p>
      <w:pPr>
        <w:pStyle w:val="Heading3"/>
      </w:pPr>
      <w:r>
        <w:t xml:space="preserve">Contribution of the NDT RCA in Awareness, interest, and application of NDT technologies</w:t>
      </w:r>
    </w:p>
    <w:p>
      <w:pPr>
        <w:pStyle w:val="FirstParagraph"/>
      </w:pPr>
      <w:r>
        <w:t xml:space="preserve">Table</w:t>
      </w:r>
      <w:r>
        <w:t xml:space="preserve"> </w:t>
      </w:r>
      <w:r>
        <w:t xml:space="preserve">4</w:t>
      </w:r>
      <w:r>
        <w:t xml:space="preserve"> </w:t>
      </w:r>
      <w:r>
        <w:t xml:space="preserve">shows that</w:t>
      </w:r>
      <w:r>
        <w:t xml:space="preserve"> </w:t>
      </w:r>
      <w:r>
        <w:rPr>
          <w:bCs/>
          <w:b/>
        </w:rPr>
        <w:t xml:space="preserve">nine of the GPs have taken actions to create awareness among industrial organisations about the benefits of NDT technology for Quality Assurance and Quality Control</w:t>
      </w:r>
      <w:r>
        <w:t xml:space="preserve">. The table also shows the of actions taken by these GPs.</w:t>
      </w:r>
    </w:p>
    <w:p>
      <w:pPr>
        <w:pStyle w:val="TableCaption"/>
      </w:pPr>
      <w:r>
        <w:t xml:space="preserve">Table 4: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4: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to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All the number of industrial sectors in which NDT technology has been applied for quality control and quality assurance in each GP is presented in figure below.</w:t>
      </w:r>
    </w:p>
    <w:p>
      <w:pPr>
        <w:pStyle w:val="CaptionedFigure"/>
      </w:pPr>
      <w:r>
        <w:drawing>
          <wp:inline>
            <wp:extent cx="4719781" cy="3629890"/>
            <wp:effectExtent b="0" l="0" r="0" t="0"/>
            <wp:docPr descr="Figure 12: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48"/>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12: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p>
    <w:p>
      <w:pPr>
        <w:pStyle w:val="BodyText"/>
      </w:pPr>
    </w:p>
    <w:bookmarkEnd w:id="49"/>
    <w:bookmarkEnd w:id="50"/>
    <w:bookmarkStart w:id="57"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the knowledge developed through R&amp;D.</w:t>
      </w:r>
    </w:p>
    <w:p>
      <w:pPr>
        <w:pStyle w:val="BodyText"/>
      </w:pPr>
      <w:r>
        <w:t xml:space="preserve">The standards for this criterion are the following:</w:t>
      </w:r>
    </w:p>
    <w:p>
      <w:pPr>
        <w:numPr>
          <w:ilvl w:val="0"/>
          <w:numId w:val="1011"/>
        </w:numPr>
      </w:pPr>
      <w:r>
        <w:rPr>
          <w:bCs/>
          <w:b/>
        </w:rPr>
        <w:t xml:space="preserve">Adequate:</w:t>
      </w:r>
      <w:r>
        <w:t xml:space="preserve"> </w:t>
      </w:r>
      <w:r>
        <w:t xml:space="preserve">GPs have successfully managed to train personnel in the introduced NDT technology.</w:t>
      </w:r>
    </w:p>
    <w:p>
      <w:pPr>
        <w:numPr>
          <w:ilvl w:val="0"/>
          <w:numId w:val="1011"/>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1"/>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2"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20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Australia, China, Indonesia, Japan, New Zealand, and Thailand have established R&amp;D activities but have not published or organized seminars, their performance is considered to be good.</w:t>
      </w:r>
    </w:p>
    <w:p>
      <w:pPr>
        <w:pStyle w:val="BodyText"/>
      </w:pPr>
      <w:r>
        <w:t xml:space="preserve">Figure</w:t>
      </w:r>
      <w:r>
        <w:t xml:space="preserve"> </w:t>
      </w:r>
      <w:r>
        <w:t xml:space="preserve">13</w:t>
      </w:r>
      <w:r>
        <w:t xml:space="preserve"> </w:t>
      </w:r>
      <w:r>
        <w:t xml:space="preserve">shows the GPs’ performance in terms of R&amp;D</w:t>
      </w:r>
    </w:p>
    <w:p>
      <w:pPr>
        <w:pStyle w:val="CaptionedFigure"/>
      </w:pPr>
      <w:r>
        <w:drawing>
          <wp:inline>
            <wp:extent cx="5219700" cy="4874668"/>
            <wp:effectExtent b="0" l="0" r="0" t="0"/>
            <wp:docPr descr="Figure 13: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Research and Development</w:t>
      </w:r>
    </w:p>
    <w:bookmarkEnd w:id="52"/>
    <w:bookmarkStart w:id="56" w:name="Xbc6a6f8b8f398c25fc0c18991fa2a5629c45caf"/>
    <w:p>
      <w:pPr>
        <w:pStyle w:val="Heading3"/>
      </w:pPr>
      <w:r>
        <w:t xml:space="preserve">Contribution of the NDT RCA in Research and Development</w:t>
      </w:r>
    </w:p>
    <w:p>
      <w:pPr>
        <w:pStyle w:val="FirstParagraph"/>
      </w:pPr>
      <w:r>
        <w:rPr>
          <w:bCs/>
          <w:b/>
        </w:rPr>
        <w:t xml:space="preserve">A total 2,674 personnel has been trained in NDT under the RCA NDT programme</w:t>
      </w:r>
      <w:r>
        <w:t xml:space="preserve">. Figure</w:t>
      </w:r>
      <w:r>
        <w:t xml:space="preserve"> </w:t>
      </w:r>
      <w:r>
        <w:t xml:space="preserve">14</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4: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3"/>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it can be seen in figure</w:t>
      </w:r>
      <w:r>
        <w:t xml:space="preserve"> </w:t>
      </w:r>
      <w:r>
        <w:t xml:space="preserve">15</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5: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4"/>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rPr>
          <w:bCs/>
          <w:b/>
        </w:rPr>
        <w:t xml:space="preserve">4,300 seminars/conferences related to NDT have been organised since 2000 as a result of GPs being part of the RCA NDT programme</w:t>
      </w:r>
      <w:r>
        <w:t xml:space="preserve">. (See figure</w:t>
      </w:r>
      <w:r>
        <w:t xml:space="preserve"> </w:t>
      </w:r>
      <w:r>
        <w:t xml:space="preserve">16</w:t>
      </w:r>
      <w:r>
        <w:t xml:space="preserve">).</w:t>
      </w:r>
    </w:p>
    <w:p>
      <w:pPr>
        <w:pStyle w:val="BodyText"/>
      </w:pPr>
      <w:r>
        <w:drawing>
          <wp:inline>
            <wp:extent cx="4719781" cy="3629890"/>
            <wp:effectExtent b="0" l="0" r="0" t="0"/>
            <wp:docPr descr="Figure 16: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5"/>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The table below shows the Extent to which the RCA NDT programme enabled or promoted the initiation of R&amp;D activities related to NDT.</w:t>
      </w:r>
    </w:p>
    <w:p>
      <w:pPr>
        <w:pStyle w:val="TableCaption"/>
      </w:pPr>
      <w:r>
        <w:t xml:space="preserve">Table 5: Extent to which the RCA NDT programme enabled or promoted the initiation of R&amp;D activities related to NDT</w:t>
      </w:r>
    </w:p>
    <w:tbl>
      <w:tblPr>
        <w:tblStyle w:val="Table"/>
        <w:tblW w:type="pct" w:w="5000.0"/>
        <w:tblLook w:firstRow="1" w:lastRow="0" w:firstColumn="0" w:lastColumn="0" w:noHBand="0" w:noVBand="0" w:val="0020"/>
        <w:tblCaption w:val="Table 5: Extent to which the RCA NDT programme enabled or promoted the initiation of R&amp;D activities related to NDT"/>
      </w:tblPr>
      <w:tblGrid>
        <w:gridCol w:w="418"/>
        <w:gridCol w:w="1744"/>
        <w:gridCol w:w="1360"/>
        <w:gridCol w:w="1570"/>
        <w:gridCol w:w="2826"/>
      </w:tblGrid>
      <w:tr>
        <w:tc>
          <w:p>
            <w:pPr>
              <w:pStyle w:val="Compact"/>
              <w:jc w:val="left"/>
            </w:pPr>
            <w:r>
              <w:t xml:space="preserve">Country</w:t>
            </w:r>
          </w:p>
        </w:tc>
        <w:tc>
          <w:p>
            <w:pPr>
              <w:pStyle w:val="Compact"/>
              <w:jc w:val="left"/>
            </w:pPr>
            <w:r>
              <w:t xml:space="preserve">Has established any R&amp;D activities related to NDT</w:t>
            </w:r>
          </w:p>
        </w:tc>
        <w:tc>
          <w:p>
            <w:pPr>
              <w:pStyle w:val="Compact"/>
              <w:jc w:val="right"/>
            </w:pPr>
            <w:r>
              <w:t xml:space="preserve">Publications related to NDT since 2000</w:t>
            </w:r>
          </w:p>
        </w:tc>
        <w:tc>
          <w:p>
            <w:pPr>
              <w:pStyle w:val="Compact"/>
              <w:jc w:val="right"/>
            </w:pPr>
            <w:r>
              <w:t xml:space="preserve">Seminars related to NDT organized since 2000</w:t>
            </w:r>
          </w:p>
        </w:tc>
        <w:tc>
          <w:p>
            <w:pPr>
              <w:pStyle w:val="Compact"/>
              <w:jc w:val="left"/>
            </w:pPr>
            <w:r>
              <w:t xml:space="preserve">Extent to which the RCA NDT enabled or promoted the initiation of R&amp;D activities</w:t>
            </w:r>
          </w:p>
        </w:tc>
      </w:tr>
      <w:tr>
        <w:tc>
          <w:p>
            <w:pPr>
              <w:pStyle w:val="Compact"/>
              <w:jc w:val="left"/>
            </w:pPr>
            <w:r>
              <w:t xml:space="preserve">Australia</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Bangladesh</w:t>
            </w:r>
          </w:p>
        </w:tc>
        <w:tc>
          <w:p>
            <w:pPr>
              <w:pStyle w:val="Compact"/>
              <w:jc w:val="left"/>
            </w:pPr>
            <w:r>
              <w:t xml:space="preserve">Yes</w:t>
            </w:r>
          </w:p>
        </w:tc>
        <w:tc>
          <w:p>
            <w:pPr>
              <w:pStyle w:val="Compact"/>
              <w:jc w:val="right"/>
            </w:pPr>
            <w:r>
              <w:t xml:space="preserve">20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tc>
        <w:tc>
          <w:p/>
        </w:tc>
      </w:tr>
      <w:tr>
        <w:tc>
          <w:p>
            <w:pPr>
              <w:pStyle w:val="Compact"/>
              <w:jc w:val="left"/>
            </w:pPr>
            <w:r>
              <w:t xml:space="preserve">China</w:t>
            </w:r>
          </w:p>
        </w:tc>
        <w:tc>
          <w:p>
            <w:pPr>
              <w:pStyle w:val="Compact"/>
              <w:jc w:val="left"/>
            </w:pPr>
            <w:r>
              <w:t xml:space="preserve">Yes</w:t>
            </w:r>
          </w:p>
        </w:tc>
        <w:tc>
          <w:p>
            <w:pPr>
              <w:pStyle w:val="Compact"/>
              <w:jc w:val="right"/>
            </w:pPr>
            <w:r>
              <w:t xml:space="preserve">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right"/>
            </w:pPr>
            <w:r>
              <w:t xml:space="preserve">120</w:t>
            </w:r>
          </w:p>
        </w:tc>
        <w:tc>
          <w:p>
            <w:pPr>
              <w:pStyle w:val="Compact"/>
              <w:jc w:val="right"/>
            </w:pPr>
            <w:r>
              <w:t xml:space="preserve">20</w:t>
            </w:r>
          </w:p>
        </w:tc>
        <w:tc>
          <w:p>
            <w:pPr>
              <w:pStyle w:val="Compact"/>
              <w:jc w:val="left"/>
            </w:pPr>
            <w:r>
              <w:t xml:space="preserve">Little</w:t>
            </w:r>
          </w:p>
        </w:tc>
      </w:tr>
      <w:tr>
        <w:tc>
          <w:p>
            <w:pPr>
              <w:pStyle w:val="Compact"/>
              <w:jc w:val="left"/>
            </w:pPr>
            <w:r>
              <w:t xml:space="preserve">Indonesia</w:t>
            </w:r>
          </w:p>
        </w:tc>
        <w:tc>
          <w:p>
            <w:pPr>
              <w:pStyle w:val="Compact"/>
              <w:jc w:val="left"/>
            </w:pPr>
            <w:r>
              <w:t xml:space="preserve">Yes</w:t>
            </w:r>
          </w:p>
        </w:tc>
        <w:tc>
          <w:p>
            <w:pPr>
              <w:pStyle w:val="Compact"/>
              <w:jc w:val="right"/>
            </w:pPr>
            <w:r>
              <w:t xml:space="preserve">200</w:t>
            </w:r>
          </w:p>
        </w:tc>
        <w:tc>
          <w:p/>
        </w:tc>
        <w:tc>
          <w:p/>
        </w:tc>
      </w:tr>
      <w:tr>
        <w:tc>
          <w:p>
            <w:pPr>
              <w:pStyle w:val="Compact"/>
              <w:jc w:val="left"/>
            </w:pPr>
            <w:r>
              <w:t xml:space="preserve">Japan</w:t>
            </w:r>
          </w:p>
        </w:tc>
        <w:tc>
          <w:p>
            <w:pPr>
              <w:pStyle w:val="Compact"/>
              <w:jc w:val="left"/>
            </w:pPr>
            <w:r>
              <w:t xml:space="preserve">Yes</w:t>
            </w:r>
          </w:p>
        </w:tc>
        <w:tc>
          <w:p>
            <w:pPr>
              <w:pStyle w:val="Compact"/>
              <w:jc w:val="right"/>
            </w:pPr>
            <w:r>
              <w:t xml:space="preserve">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right"/>
            </w:pPr>
            <w:r>
              <w:t xml:space="preserve">100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right"/>
            </w:pPr>
            <w:r>
              <w:t xml:space="preserve">180</w:t>
            </w:r>
          </w:p>
        </w:tc>
        <w:tc>
          <w:p>
            <w:pPr>
              <w:pStyle w:val="Compact"/>
              <w:jc w:val="right"/>
            </w:pPr>
            <w:r>
              <w:t xml:space="preserve">20</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tc>
        <w:tc>
          <w:p/>
        </w:tc>
      </w:tr>
      <w:tr>
        <w:tc>
          <w:p>
            <w:pPr>
              <w:pStyle w:val="Compact"/>
              <w:jc w:val="left"/>
            </w:pPr>
            <w:r>
              <w:t xml:space="preserve">Nepal</w:t>
            </w:r>
          </w:p>
        </w:tc>
        <w:tc>
          <w:p/>
        </w:tc>
        <w:tc>
          <w:p/>
        </w:tc>
        <w:tc>
          <w:p/>
        </w:tc>
        <w:tc>
          <w:p/>
        </w:tc>
      </w:tr>
      <w:tr>
        <w:tc>
          <w:p>
            <w:pPr>
              <w:pStyle w:val="Compact"/>
              <w:jc w:val="left"/>
            </w:pPr>
            <w:r>
              <w:t xml:space="preserve">New Zealand</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Pakistan</w:t>
            </w:r>
          </w:p>
        </w:tc>
        <w:tc>
          <w:p>
            <w:pPr>
              <w:pStyle w:val="Compact"/>
              <w:jc w:val="left"/>
            </w:pPr>
            <w:r>
              <w:t xml:space="preserve">Yes</w:t>
            </w:r>
          </w:p>
        </w:tc>
        <w:tc>
          <w:p>
            <w:pPr>
              <w:pStyle w:val="Compact"/>
              <w:jc w:val="right"/>
            </w:pPr>
            <w:r>
              <w:t xml:space="preserve">100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right"/>
            </w:pPr>
            <w:r>
              <w:t xml:space="preserve">200</w:t>
            </w:r>
          </w:p>
        </w:tc>
        <w:tc>
          <w:p>
            <w:pPr>
              <w:pStyle w:val="Compact"/>
              <w:jc w:val="right"/>
            </w:pPr>
            <w:r>
              <w:t xml:space="preserve">600</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right"/>
            </w:pPr>
            <w:r>
              <w:t xml:space="preserve">200</w:t>
            </w:r>
          </w:p>
        </w:tc>
        <w:tc>
          <w:p>
            <w:pPr>
              <w:pStyle w:val="Compact"/>
              <w:jc w:val="right"/>
            </w:pPr>
            <w:r>
              <w:t xml:space="preserve">1600</w:t>
            </w:r>
          </w:p>
        </w:tc>
        <w:tc>
          <w:p>
            <w:pPr>
              <w:pStyle w:val="Compact"/>
              <w:jc w:val="left"/>
            </w:pPr>
            <w:r>
              <w:t xml:space="preserve">Little</w:t>
            </w:r>
          </w:p>
        </w:tc>
      </w:tr>
      <w:tr>
        <w:tc>
          <w:p>
            <w:pPr>
              <w:pStyle w:val="Compact"/>
              <w:jc w:val="left"/>
            </w:pPr>
            <w:r>
              <w:t xml:space="preserve">South Korea</w:t>
            </w:r>
          </w:p>
        </w:tc>
        <w:tc>
          <w:p>
            <w:pPr>
              <w:pStyle w:val="Compact"/>
              <w:jc w:val="left"/>
            </w:pPr>
            <w:r>
              <w:t xml:space="preserve">Yes</w:t>
            </w:r>
          </w:p>
        </w:tc>
        <w:tc>
          <w:p>
            <w:pPr>
              <w:pStyle w:val="Compact"/>
              <w:jc w:val="right"/>
            </w:pPr>
            <w:r>
              <w:t xml:space="preserve">120</w:t>
            </w:r>
          </w:p>
        </w:tc>
        <w:tc>
          <w:p>
            <w:pPr>
              <w:pStyle w:val="Compact"/>
              <w:jc w:val="right"/>
            </w:pPr>
            <w:r>
              <w:t xml:space="preserve">200</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No</w:t>
            </w:r>
          </w:p>
        </w:tc>
        <w:tc>
          <w:p/>
        </w:tc>
        <w:tc>
          <w:p/>
        </w:tc>
        <w:tc>
          <w:p/>
        </w:tc>
      </w:tr>
      <w:tr>
        <w:tc>
          <w:p>
            <w:pPr>
              <w:pStyle w:val="Compact"/>
              <w:jc w:val="left"/>
            </w:pPr>
            <w:r>
              <w:t xml:space="preserve">Thailand</w:t>
            </w:r>
          </w:p>
        </w:tc>
        <w:tc>
          <w:p>
            <w:pPr>
              <w:pStyle w:val="Compact"/>
              <w:jc w:val="left"/>
            </w:pPr>
            <w:r>
              <w:t xml:space="preserve">Yes</w:t>
            </w:r>
          </w:p>
        </w:tc>
        <w:tc>
          <w:p>
            <w:pPr>
              <w:pStyle w:val="Compact"/>
              <w:jc w:val="right"/>
            </w:pPr>
            <w:r>
              <w:t xml:space="preserve">140</w:t>
            </w:r>
          </w:p>
        </w:tc>
        <w:tc>
          <w:p>
            <w:pPr>
              <w:pStyle w:val="Compact"/>
              <w:jc w:val="right"/>
            </w:pPr>
            <w:r>
              <w:t xml:space="preserve">0</w:t>
            </w:r>
          </w:p>
        </w:tc>
        <w:tc>
          <w:p>
            <w:pPr>
              <w:pStyle w:val="Compact"/>
              <w:jc w:val="left"/>
            </w:pPr>
            <w:r>
              <w:t xml:space="preserve">To a great extent</w:t>
            </w:r>
          </w:p>
        </w:tc>
      </w:tr>
      <w:tr>
        <w:tc>
          <w:p>
            <w:pPr>
              <w:pStyle w:val="Compact"/>
              <w:jc w:val="left"/>
            </w:pPr>
            <w:r>
              <w:t xml:space="preserve">Vietnam</w:t>
            </w:r>
          </w:p>
        </w:tc>
        <w:tc>
          <w:p>
            <w:pPr>
              <w:pStyle w:val="Compact"/>
              <w:jc w:val="left"/>
            </w:pPr>
            <w:r>
              <w:t xml:space="preserve">Yes</w:t>
            </w:r>
          </w:p>
        </w:tc>
        <w:tc>
          <w:p>
            <w:pPr>
              <w:pStyle w:val="Compact"/>
              <w:jc w:val="right"/>
            </w:pPr>
            <w:r>
              <w:t xml:space="preserve">240</w:t>
            </w:r>
          </w:p>
        </w:tc>
        <w:tc>
          <w:p>
            <w:pPr>
              <w:pStyle w:val="Compact"/>
              <w:jc w:val="right"/>
            </w:pPr>
            <w:r>
              <w:t xml:space="preserve">1000</w:t>
            </w:r>
          </w:p>
        </w:tc>
        <w:tc>
          <w:p>
            <w:pPr>
              <w:pStyle w:val="Compact"/>
              <w:jc w:val="left"/>
            </w:pPr>
            <w:r>
              <w:t xml:space="preserve">To a great extent</w:t>
            </w:r>
          </w:p>
        </w:tc>
      </w:tr>
    </w:tbl>
    <w:p>
      <w:r>
        <w:br w:type="page"/>
      </w:r>
    </w:p>
    <w:bookmarkEnd w:id="56"/>
    <w:bookmarkEnd w:id="57"/>
    <w:bookmarkEnd w:id="58"/>
    <w:bookmarkStart w:id="63" w:name="criterion-3-improved-health-and-safety"/>
    <w:p>
      <w:pPr>
        <w:pStyle w:val="Heading1"/>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of IAEA has enable GPs in</w:t>
      </w:r>
      <w:r>
        <w:t xml:space="preserve"> </w:t>
      </w:r>
      <w:r>
        <w:rPr>
          <w:bCs/>
          <w:b/>
        </w:rPr>
        <w:t xml:space="preserve">applying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873"/>
        <w:gridCol w:w="5924"/>
        <w:gridCol w:w="1122"/>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that perceive that the RCA NDT programme contributed to the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that perceive that the RCA NDT programme contributed contributed to applying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total accumulated number of injuries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number of deaths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reduction of CHEMICAL WASTE (in tons)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Improved health and safety criteria. Further details on the criterion and standards for this dimension are presented in Annex E.</w:t>
      </w:r>
    </w:p>
    <w:p>
      <w:pPr>
        <w:pStyle w:val="CaptionedFigure"/>
      </w:pPr>
      <w:r>
        <w:drawing>
          <wp:inline>
            <wp:extent cx="5219700" cy="2409092"/>
            <wp:effectExtent b="0" l="0" r="0" t="0"/>
            <wp:docPr descr="Figure 17: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59"/>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17: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1"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2"/>
        </w:numPr>
      </w:pPr>
      <w:r>
        <w:rPr>
          <w:bCs/>
          <w:b/>
        </w:rPr>
        <w:t xml:space="preserve">Adequate:</w:t>
      </w:r>
      <w:r>
        <w:t xml:space="preserve"> </w:t>
      </w:r>
      <w:r>
        <w:t xml:space="preserve">Participation in the RCA program of IAEA results in GPs becoming more aware of the benefits of NDT technology for safer operation of nuclear and other industrial installations.</w:t>
      </w:r>
    </w:p>
    <w:p>
      <w:pPr>
        <w:numPr>
          <w:ilvl w:val="0"/>
          <w:numId w:val="1012"/>
        </w:numPr>
      </w:pPr>
      <w:r>
        <w:rPr>
          <w:bCs/>
          <w:b/>
        </w:rPr>
        <w:t xml:space="preserve">Good:</w:t>
      </w:r>
      <w:r>
        <w:t xml:space="preserve"> </w:t>
      </w:r>
      <w:r>
        <w:t xml:space="preserve">Participation in the RCA program of IAEA results in GPs applying NDT technology for safer operation of nuclear and other industrial installations.</w:t>
      </w:r>
    </w:p>
    <w:p>
      <w:pPr>
        <w:numPr>
          <w:ilvl w:val="0"/>
          <w:numId w:val="1012"/>
        </w:numPr>
      </w:pPr>
      <w:r>
        <w:rPr>
          <w:bCs/>
          <w:b/>
        </w:rPr>
        <w:t xml:space="preserve">Excellent:</w:t>
      </w:r>
      <w:r>
        <w:t xml:space="preserve"> </w:t>
      </w:r>
      <w:r>
        <w:t xml:space="preserve">As a result of participation in the RCA program of IAEA,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18</w:t>
      </w:r>
      <w:r>
        <w:t xml:space="preserve"> </w:t>
      </w:r>
      <w:r>
        <w:t xml:space="preserve">shows the criterion and standards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18: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18: Performance standards: Improved Health and Safety</w:t>
      </w:r>
    </w:p>
    <w:bookmarkEnd w:id="61"/>
    <w:bookmarkStart w:id="62" w:name="Xb04d98dfe511840c73277574b6c96df4edf16c4"/>
    <w:p>
      <w:pPr>
        <w:pStyle w:val="Heading3"/>
      </w:pPr>
      <w:r>
        <w:t xml:space="preserve">Contribution of the NDT RCA in Improved Health and Safety</w:t>
      </w:r>
    </w:p>
    <w:p>
      <w:pPr>
        <w:numPr>
          <w:ilvl w:val="0"/>
          <w:numId w:val="1013"/>
        </w:numPr>
      </w:pPr>
      <w:r>
        <w:rPr>
          <w:bCs/>
          <w:b/>
        </w:rPr>
        <w:t xml:space="preserve">85% of the GP’s perceive that being part of the RCA NDT programme contributed to the AWARENESS of the benefits of using NDT technologies for safer operations</w:t>
      </w:r>
      <w:r>
        <w:t xml:space="preserve"> </w:t>
      </w:r>
      <w:r>
        <w:t xml:space="preserve">of nuclear and other industrial installations in their country.</w:t>
      </w:r>
    </w:p>
    <w:p>
      <w:pPr>
        <w:numPr>
          <w:ilvl w:val="0"/>
          <w:numId w:val="1013"/>
        </w:numPr>
      </w:pPr>
      <w:r>
        <w:rPr>
          <w:bCs/>
          <w:b/>
        </w:rPr>
        <w:t xml:space="preserve">85% of the GP’s perceive that being part of the RCA NDT programme contributed to applying NDT technologies for safer operations</w:t>
      </w:r>
      <w:r>
        <w:t xml:space="preserve"> </w:t>
      </w:r>
      <w:r>
        <w:t xml:space="preserve">of nuclear and other industrial installations in their country.</w:t>
      </w:r>
    </w:p>
    <w:p>
      <w:pPr>
        <w:numPr>
          <w:ilvl w:val="0"/>
          <w:numId w:val="1013"/>
        </w:numPr>
      </w:pPr>
      <w:r>
        <w:t xml:space="preserve">All GPs but two reported that their country does not have an approximation of the reduction of chemical waste, reduced injuries, or reduced deaths.</w:t>
      </w:r>
    </w:p>
    <w:p>
      <w:r>
        <w:br w:type="page"/>
      </w:r>
    </w:p>
    <w:bookmarkEnd w:id="62"/>
    <w:bookmarkEnd w:id="63"/>
    <w:bookmarkStart w:id="64" w:name="overall-impact-of-the-ndt-rca-programme"/>
    <w:p>
      <w:pPr>
        <w:pStyle w:val="Heading1"/>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Table</w:t>
      </w:r>
      <w:r>
        <w:t xml:space="preserve"> </w:t>
      </w:r>
      <w:r>
        <w:t xml:space="preserve">6</w:t>
      </w:r>
      <w:r>
        <w:t xml:space="preserve"> </w:t>
      </w:r>
      <w:r>
        <w:t xml:space="preserve">shows the perception of the GPs on the role that RCA has had to:</w:t>
      </w:r>
    </w:p>
    <w:p>
      <w:pPr>
        <w:numPr>
          <w:ilvl w:val="0"/>
          <w:numId w:val="1014"/>
        </w:numPr>
      </w:pPr>
      <w:r>
        <w:t xml:space="preserve">Help speed up the adoption of NDT technologies since 2000.</w:t>
      </w:r>
    </w:p>
    <w:p>
      <w:pPr>
        <w:numPr>
          <w:ilvl w:val="0"/>
          <w:numId w:val="1014"/>
        </w:numPr>
      </w:pPr>
      <w:r>
        <w:t xml:space="preserve">Contribute to the adoption of NDT technologies by private businesses since 2000.</w:t>
      </w:r>
    </w:p>
    <w:p>
      <w:pPr>
        <w:numPr>
          <w:ilvl w:val="0"/>
          <w:numId w:val="1014"/>
        </w:numPr>
      </w:pPr>
      <w:r>
        <w:t xml:space="preserve">The proportion of total activity in the NDT sector in 2020 can be attributed to the programme.</w:t>
      </w:r>
    </w:p>
    <w:p>
      <w:pPr>
        <w:numPr>
          <w:ilvl w:val="0"/>
          <w:numId w:val="1014"/>
        </w:numPr>
      </w:pPr>
      <w:r>
        <w:t xml:space="preserve">The productivity of NDT inspections (reduction of the average time to complete an inspection).</w:t>
      </w:r>
    </w:p>
    <w:p>
      <w:pPr>
        <w:pStyle w:val="FirstParagraph"/>
      </w:pPr>
      <w:r>
        <w:t xml:space="preserve">According to the own perception of the experts who participated in the online survey,</w:t>
      </w:r>
      <w:r>
        <w:t xml:space="preserve"> </w:t>
      </w:r>
      <w:r>
        <w:rPr>
          <w:bCs/>
          <w:b/>
        </w:rPr>
        <w:t xml:space="preserve">for 75% of the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perceive that NDT RCA contributed for the adoption of NDT technologies to happen 4-5 years faster; and</w:t>
      </w:r>
      <w:r>
        <w:t xml:space="preserve"> </w:t>
      </w:r>
      <w:r>
        <w:rPr>
          <w:bCs/>
          <w:b/>
        </w:rPr>
        <w:t xml:space="preserve">China, Mongolia, Pakistan, Philippines, Singapore, Thailand, and Vietnam think that the adoption occurred 6-10 years faster than with out the support of IAEA.</w:t>
      </w:r>
    </w:p>
    <w:p>
      <w:pPr>
        <w:pStyle w:val="BodyText"/>
      </w:pPr>
      <w:r>
        <w:t xml:space="preserve">Additionally,</w:t>
      </w:r>
      <w:r>
        <w:t xml:space="preserve"> </w:t>
      </w:r>
      <w:r>
        <w:rPr>
          <w:bCs/>
          <w:b/>
        </w:rPr>
        <w:t xml:space="preserve">70% of the GPs perceive that NDT RCA has contributed to the adoption of NDT technologies by private business in their countries since 2000</w:t>
      </w:r>
      <w:r>
        <w:t xml:space="preserve">. From these countries,</w:t>
      </w:r>
      <w:r>
        <w:t xml:space="preserve"> </w:t>
      </w:r>
      <w:r>
        <w:rPr>
          <w:bCs/>
          <w:b/>
        </w:rPr>
        <w:t xml:space="preserve">50% estimate that the proportion of the total activity in their NDT sector can be attributed to RCA at least 25% or more.</w:t>
      </w:r>
    </w:p>
    <w:p>
      <w:pPr>
        <w:pStyle w:val="BodyText"/>
      </w:pPr>
      <w:r>
        <w:t xml:space="preserve">South Korea, Thailand, and Vietnam estimate that between 25% - 50% of total activity in the NDT sector in 2020 can be attributed to the RCA NDT. And Bangladesh, Mongolia, Philippines, and Singapore that between 51% - 75%,</w:t>
      </w:r>
    </w:p>
    <w:p>
      <w:pPr>
        <w:pStyle w:val="BodyText"/>
      </w:pPr>
      <w:r>
        <w:t xml:space="preserve">The table also displays the perception on the role of IAEA/RCA activities in achieving the general objectives and benefits.</w:t>
      </w:r>
    </w:p>
    <w:p>
      <w:pPr>
        <w:pStyle w:val="TableCaption"/>
      </w:pPr>
      <w:r>
        <w:t xml:space="preserve">Table 6: Contribution of IAEA/RCA activities in achieving general objectives and benefits by GP</w:t>
      </w:r>
    </w:p>
    <w:tbl>
      <w:tblPr>
        <w:tblStyle w:val="Table"/>
        <w:tblW w:type="pct" w:w="5000.0"/>
        <w:tblLook w:firstRow="1" w:lastRow="0" w:firstColumn="0" w:lastColumn="0" w:noHBand="0" w:noVBand="0" w:val="0020"/>
        <w:tblCaption w:val="Table 6: Contribution of IAEA/RCA activities in achieving general objectives and benefits by GP"/>
      </w:tblPr>
      <w:tblGrid>
        <w:gridCol w:w="188"/>
        <w:gridCol w:w="645"/>
        <w:gridCol w:w="1039"/>
        <w:gridCol w:w="283"/>
        <w:gridCol w:w="1385"/>
        <w:gridCol w:w="1385"/>
        <w:gridCol w:w="1007"/>
        <w:gridCol w:w="771"/>
        <w:gridCol w:w="1212"/>
      </w:tblGrid>
      <w:tr>
        <w:tc>
          <w:p>
            <w:pPr>
              <w:pStyle w:val="Compact"/>
              <w:jc w:val="left"/>
            </w:pPr>
            <w:r>
              <w:t xml:space="preserve">Country</w:t>
            </w:r>
          </w:p>
        </w:tc>
        <w:tc>
          <w:p>
            <w:pPr>
              <w:pStyle w:val="Compact"/>
              <w:jc w:val="right"/>
            </w:pPr>
            <w:r>
              <w:t xml:space="preserve">Year when first took part in the RCA NDT</w:t>
            </w:r>
          </w:p>
        </w:tc>
        <w:tc>
          <w:p>
            <w:pPr>
              <w:pStyle w:val="Compact"/>
              <w:jc w:val="left"/>
            </w:pPr>
            <w:r>
              <w:t xml:space="preserve">RCA NDT help speed up the adoption of NDT technologies since 2000</w:t>
            </w:r>
          </w:p>
        </w:tc>
        <w:tc>
          <w:p>
            <w:pPr>
              <w:pStyle w:val="Compact"/>
              <w:jc w:val="left"/>
            </w:pPr>
            <w:r>
              <w:t xml:space="preserve">Years faster</w:t>
            </w:r>
          </w:p>
        </w:tc>
        <w:tc>
          <w:p>
            <w:pPr>
              <w:pStyle w:val="Compact"/>
              <w:jc w:val="left"/>
            </w:pPr>
            <w:r>
              <w:t xml:space="preserve">RCA NDT contribute to the adoption of NDT technologies by private businesses since 2000</w:t>
            </w:r>
          </w:p>
        </w:tc>
        <w:tc>
          <w:p>
            <w:pPr>
              <w:pStyle w:val="Compact"/>
              <w:jc w:val="left"/>
            </w:pPr>
            <w:r>
              <w:t xml:space="preserve">proportion of total activity in the NDT sector in 2020 can be attributed to the RCA NDT</w:t>
            </w:r>
          </w:p>
        </w:tc>
        <w:tc>
          <w:p>
            <w:pPr>
              <w:pStyle w:val="Compact"/>
              <w:jc w:val="left"/>
            </w:pPr>
            <w:r>
              <w:t xml:space="preserve">RCA NDT programme increased the productivity of NDT inspections</w:t>
            </w:r>
          </w:p>
        </w:tc>
        <w:tc>
          <w:p>
            <w:pPr>
              <w:pStyle w:val="Compact"/>
              <w:jc w:val="left"/>
            </w:pPr>
            <w:r>
              <w:t xml:space="preserve">Impact on average inspection time</w:t>
            </w:r>
          </w:p>
        </w:tc>
        <w:tc>
          <w:p>
            <w:pPr>
              <w:pStyle w:val="Compact"/>
              <w:jc w:val="left"/>
            </w:pPr>
            <w:r>
              <w:t xml:space="preserve">Role of IAEA/RCA activities in achieving the general objectives and benefits</w:t>
            </w:r>
          </w:p>
        </w:tc>
      </w:tr>
      <w:tr>
        <w:tc>
          <w:p>
            <w:pPr>
              <w:pStyle w:val="Compact"/>
              <w:jc w:val="left"/>
            </w:pPr>
            <w:r>
              <w:t xml:space="preserve">Australia</w:t>
            </w:r>
          </w:p>
        </w:tc>
        <w:tc>
          <w:p>
            <w:pPr>
              <w:pStyle w:val="Compact"/>
              <w:jc w:val="right"/>
            </w:pPr>
            <w:r>
              <w:t xml:space="preserve">2009</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Bangladesh</w:t>
            </w:r>
          </w:p>
        </w:tc>
        <w:tc>
          <w:p>
            <w:pPr>
              <w:pStyle w:val="Compact"/>
              <w:jc w:val="right"/>
            </w:pPr>
            <w:r>
              <w:t xml:space="preserve">1987</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Cambodia</w:t>
            </w:r>
          </w:p>
        </w:tc>
        <w:tc>
          <w:p>
            <w:pPr>
              <w:pStyle w:val="Compact"/>
              <w:jc w:val="right"/>
            </w:pPr>
            <w:r>
              <w:t xml:space="preserve">2018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China</w:t>
            </w:r>
          </w:p>
        </w:tc>
        <w:tc>
          <w:p>
            <w:pPr>
              <w:pStyle w:val="Compact"/>
              <w:jc w:val="right"/>
            </w:pPr>
            <w:r>
              <w:t xml:space="preserve">1995</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up to 10%</w:t>
            </w:r>
          </w:p>
        </w:tc>
        <w:tc>
          <w:p>
            <w:pPr>
              <w:pStyle w:val="Compact"/>
              <w:jc w:val="left"/>
            </w:pPr>
            <w:r>
              <w:t xml:space="preserve">Excellent</w:t>
            </w:r>
          </w:p>
        </w:tc>
      </w:tr>
      <w:tr>
        <w:tc>
          <w:p>
            <w:pPr>
              <w:pStyle w:val="Compact"/>
              <w:jc w:val="left"/>
            </w:pPr>
            <w:r>
              <w:t xml:space="preserve">India</w:t>
            </w:r>
          </w:p>
        </w:tc>
        <w:tc>
          <w:p>
            <w:pPr>
              <w:pStyle w:val="Compact"/>
              <w:jc w:val="right"/>
            </w:pPr>
            <w:r>
              <w:t xml:space="preserve">1972</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tc>
        <w:tc>
          <w:p>
            <w:pPr>
              <w:pStyle w:val="Compact"/>
              <w:jc w:val="left"/>
            </w:pPr>
            <w:r>
              <w:t xml:space="preserve">Good</w:t>
            </w:r>
          </w:p>
        </w:tc>
      </w:tr>
      <w:tr>
        <w:tc>
          <w:p>
            <w:pPr>
              <w:pStyle w:val="Compact"/>
              <w:jc w:val="left"/>
            </w:pPr>
            <w:r>
              <w:t xml:space="preserve">Indonesia</w:t>
            </w:r>
          </w:p>
        </w:tc>
        <w:tc>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Japan</w:t>
            </w:r>
          </w:p>
        </w:tc>
        <w:tc>
          <w:p>
            <w:pPr>
              <w:pStyle w:val="Compact"/>
              <w:jc w:val="right"/>
            </w:pPr>
            <w:r>
              <w:t xml:space="preserve">1978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Laos</w:t>
            </w:r>
          </w:p>
        </w:tc>
        <w:tc>
          <w:p>
            <w:pPr>
              <w:pStyle w:val="Compact"/>
              <w:jc w:val="right"/>
            </w:pPr>
            <w:r>
              <w:t xml:space="preserve">2018</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Malaysia</w:t>
            </w:r>
          </w:p>
        </w:tc>
        <w:tc>
          <w:p>
            <w:pPr>
              <w:pStyle w:val="Compact"/>
              <w:jc w:val="right"/>
            </w:pPr>
            <w:r>
              <w:t xml:space="preserve">1981</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Mongolia</w:t>
            </w:r>
          </w:p>
        </w:tc>
        <w:tc>
          <w:p>
            <w:pPr>
              <w:pStyle w:val="Compact"/>
              <w:jc w:val="right"/>
            </w:pPr>
            <w:r>
              <w:t xml:space="preserve">1993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No</w:t>
            </w:r>
          </w:p>
        </w:tc>
        <w:tc>
          <w:p/>
        </w:tc>
        <w:tc>
          <w:p>
            <w:pPr>
              <w:pStyle w:val="Compact"/>
              <w:jc w:val="left"/>
            </w:pPr>
            <w:r>
              <w:t xml:space="preserve">Poor</w:t>
            </w:r>
          </w:p>
        </w:tc>
      </w:tr>
      <w:tr>
        <w:tc>
          <w:p>
            <w:pPr>
              <w:pStyle w:val="Compact"/>
              <w:jc w:val="left"/>
            </w:pPr>
            <w:r>
              <w:t xml:space="preserve">Myanmar</w:t>
            </w:r>
          </w:p>
        </w:tc>
        <w:tc>
          <w:p>
            <w:pPr>
              <w:pStyle w:val="Compact"/>
              <w:jc w:val="right"/>
            </w:pPr>
            <w:r>
              <w:t xml:space="preserve">1996</w:t>
            </w:r>
          </w:p>
        </w:tc>
        <w:tc>
          <w:p>
            <w:pPr>
              <w:pStyle w:val="Compact"/>
              <w:jc w:val="left"/>
            </w:pPr>
            <w:r>
              <w:t xml:space="preserve">Yes</w:t>
            </w:r>
          </w:p>
        </w:tc>
        <w:tc>
          <w:p>
            <w:pPr>
              <w:pStyle w:val="Compact"/>
              <w:jc w:val="left"/>
            </w:pPr>
            <w:r>
              <w:t xml:space="preserve">1-3 years faster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Nepal</w:t>
            </w:r>
          </w:p>
        </w:tc>
        <w:tc>
          <w:p>
            <w:pPr>
              <w:pStyle w:val="Compact"/>
              <w:jc w:val="right"/>
            </w:pPr>
            <w:r>
              <w:t xml:space="preserve">2017</w:t>
            </w:r>
          </w:p>
        </w:tc>
        <w:tc>
          <w:p/>
        </w:tc>
        <w:tc>
          <w:p/>
        </w:tc>
        <w:tc>
          <w:p/>
        </w:tc>
        <w:tc>
          <w:p/>
        </w:tc>
        <w:tc>
          <w:p/>
        </w:tc>
        <w:tc>
          <w:p/>
        </w:tc>
        <w:tc>
          <w:p/>
        </w:tc>
      </w:tr>
      <w:tr>
        <w:tc>
          <w:p>
            <w:pPr>
              <w:pStyle w:val="Compact"/>
              <w:jc w:val="left"/>
            </w:pPr>
            <w:r>
              <w:t xml:space="preserve">New Zealand</w:t>
            </w:r>
          </w:p>
        </w:tc>
        <w:tc>
          <w:p>
            <w:pPr>
              <w:pStyle w:val="Compact"/>
              <w:jc w:val="right"/>
            </w:pPr>
            <w:r>
              <w:t xml:space="preserve">1990</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Pakistan</w:t>
            </w:r>
          </w:p>
        </w:tc>
        <w:tc>
          <w:p>
            <w:pPr>
              <w:pStyle w:val="Compact"/>
              <w:jc w:val="right"/>
            </w:pPr>
            <w:r>
              <w:t xml:space="preserve">2019</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Philippines</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Singapore</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South Korea</w:t>
            </w:r>
          </w:p>
        </w:tc>
        <w:tc>
          <w:p>
            <w:pPr>
              <w:pStyle w:val="Compact"/>
              <w:jc w:val="right"/>
            </w:pPr>
            <w:r>
              <w:t xml:space="preserve">2000</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Sri Lanka</w:t>
            </w:r>
          </w:p>
        </w:tc>
        <w:tc>
          <w:p>
            <w:pPr>
              <w:pStyle w:val="Compact"/>
              <w:jc w:val="right"/>
            </w:pPr>
            <w:r>
              <w:t xml:space="preserve">1982</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Thailand</w:t>
            </w:r>
          </w:p>
        </w:tc>
        <w:tc>
          <w:p>
            <w:pPr>
              <w:pStyle w:val="Compact"/>
              <w:jc w:val="right"/>
            </w:pPr>
            <w:r>
              <w:t xml:space="preserve">1983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Vietnam</w:t>
            </w:r>
          </w:p>
        </w:tc>
        <w:tc>
          <w:p>
            <w:pPr>
              <w:pStyle w:val="Compact"/>
              <w:jc w:val="right"/>
            </w:pPr>
            <w:r>
              <w:t xml:space="preserve">1981</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bl>
    <w:bookmarkEnd w:id="64"/>
    <w:bookmarkStart w:id="65"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5"/>
              </w:numPr>
              <w:jc w:val="left"/>
            </w:pPr>
            <w:r>
              <w:t xml:space="preserve">NDT Society is registered with APFNDT and ICNDT</w:t>
            </w:r>
          </w:p>
          <w:p>
            <w:pPr>
              <w:numPr>
                <w:ilvl w:val="0"/>
                <w:numId w:val="1015"/>
              </w:numPr>
              <w:jc w:val="left"/>
            </w:pPr>
            <w:r>
              <w:t xml:space="preserve">The society is a signatory to ICNDT MRA</w:t>
            </w:r>
          </w:p>
          <w:p>
            <w:pPr>
              <w:numPr>
                <w:ilvl w:val="0"/>
                <w:numId w:val="1015"/>
              </w:numPr>
              <w:jc w:val="left"/>
            </w:pPr>
            <w:r>
              <w:t xml:space="preserve">NCB for NDT accredited to ISO 17024</w:t>
            </w:r>
          </w:p>
          <w:p>
            <w:pPr>
              <w:numPr>
                <w:ilvl w:val="0"/>
                <w:numId w:val="1015"/>
              </w:numPr>
              <w:jc w:val="left"/>
            </w:pPr>
            <w:r>
              <w:t xml:space="preserve">NCB accepted for registration under the ICNDT MRA</w:t>
            </w:r>
          </w:p>
          <w:p>
            <w:pPr>
              <w:numPr>
                <w:ilvl w:val="0"/>
                <w:numId w:val="1015"/>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6"/>
              </w:numPr>
              <w:jc w:val="left"/>
            </w:pPr>
            <w:r>
              <w:t xml:space="preserve">NDT Society has been established</w:t>
            </w:r>
          </w:p>
          <w:p>
            <w:pPr>
              <w:numPr>
                <w:ilvl w:val="0"/>
                <w:numId w:val="1016"/>
              </w:numPr>
              <w:jc w:val="left"/>
            </w:pPr>
            <w:r>
              <w:t xml:space="preserve">National certification body on NDT has been established.</w:t>
            </w:r>
          </w:p>
          <w:p>
            <w:pPr>
              <w:numPr>
                <w:ilvl w:val="0"/>
                <w:numId w:val="1016"/>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5"/>
    <w:bookmarkStart w:id="66" w:name="Xaa28e5424c20d36e1dad27fb9ca484070711bab"/>
    <w:p>
      <w:pPr>
        <w:pStyle w:val="Heading1"/>
      </w:pPr>
      <w:r>
        <w:t xml:space="preserve">Annex B: Implementation of NDT technology by industrial sector</w:t>
      </w:r>
    </w:p>
    <w:p>
      <w:pPr>
        <w:pStyle w:val="TableCaption"/>
      </w:pPr>
      <w:r>
        <w:t xml:space="preserve">Table 7: Extent to which the introduced NDT technology by the RCA programme led to improved manufacturing processes</w:t>
      </w:r>
    </w:p>
    <w:tbl>
      <w:tblPr>
        <w:tblStyle w:val="Table"/>
        <w:tblW w:type="pct" w:w="5000.0"/>
        <w:tblLook w:firstRow="1" w:lastRow="0" w:firstColumn="0" w:lastColumn="0" w:noHBand="0" w:noVBand="0" w:val="0020"/>
        <w:tblCaption w:val="Table 7: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66"/>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b3cbbdee"/>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2021-09-10T12:43:16Z</dcterms:created>
  <dcterms:modified xsi:type="dcterms:W3CDTF">2021-09-10T12:43:16Z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